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B1D4" w14:textId="77777777" w:rsidR="00624665" w:rsidRPr="00624665" w:rsidRDefault="00624665" w:rsidP="00624665">
      <w:pPr>
        <w:jc w:val="center"/>
        <w:rPr>
          <w:b/>
          <w:bCs/>
        </w:rPr>
      </w:pPr>
      <w:r w:rsidRPr="00624665">
        <w:rPr>
          <w:b/>
          <w:bCs/>
        </w:rPr>
        <w:t>PŘEDBĚŽNÁ INFORMACE</w:t>
      </w:r>
    </w:p>
    <w:p w14:paraId="6ACC0900" w14:textId="77777777" w:rsidR="00624665" w:rsidRPr="00624665" w:rsidRDefault="00624665" w:rsidP="00624665">
      <w:pPr>
        <w:jc w:val="center"/>
        <w:rPr>
          <w:b/>
          <w:bCs/>
        </w:rPr>
      </w:pPr>
      <w:r w:rsidRPr="00624665">
        <w:rPr>
          <w:b/>
          <w:bCs/>
        </w:rPr>
        <w:t>O PODMÍNKÁCH VYUŽÍVÁNÍ ÚZEMÍ A ZMĚN JEHO VYUŽITÍ</w:t>
      </w:r>
    </w:p>
    <w:p w14:paraId="30822FED" w14:textId="77777777" w:rsidR="00624665" w:rsidRPr="00624665" w:rsidRDefault="00624665" w:rsidP="00624665">
      <w:pPr>
        <w:jc w:val="both"/>
      </w:pPr>
      <w:r w:rsidRPr="00624665">
        <w:t>Městský úřad Nymburk, odbor výstavby, jako stavební úřad příslušný podle § 30 odst. 1 písm. f) a § 30</w:t>
      </w:r>
    </w:p>
    <w:p w14:paraId="0D75525F" w14:textId="77777777" w:rsidR="00624665" w:rsidRPr="00624665" w:rsidRDefault="00624665" w:rsidP="00624665">
      <w:pPr>
        <w:jc w:val="both"/>
      </w:pPr>
      <w:r w:rsidRPr="00624665">
        <w:t>odst. 3 písm. a) zákona č. 283/2021 Sb., stavební zákon, ve znění pozdějších předpisů (dále jen "stavební</w:t>
      </w:r>
    </w:p>
    <w:p w14:paraId="68E5AD9F" w14:textId="77777777" w:rsidR="00624665" w:rsidRPr="00624665" w:rsidRDefault="00624665" w:rsidP="00624665">
      <w:pPr>
        <w:jc w:val="both"/>
      </w:pPr>
      <w:r w:rsidRPr="00624665">
        <w:t>zákon"), poskytuje předběžnou informaci k žádosti podle § 174 odst. 1 písm. a) stavebního zákona a</w:t>
      </w:r>
    </w:p>
    <w:p w14:paraId="6DE41D8E" w14:textId="445FFEA0" w:rsidR="00624665" w:rsidRPr="00624665" w:rsidRDefault="00624665" w:rsidP="00624665">
      <w:pPr>
        <w:jc w:val="both"/>
      </w:pPr>
      <w:r w:rsidRPr="00624665">
        <w:t>§ 139 zákona č. 500/2004 Sb., správní řád, ve znění pozdějších předpisů (dále jen "správní řád"), kterou</w:t>
      </w:r>
      <w:r>
        <w:t xml:space="preserve"> </w:t>
      </w:r>
      <w:r w:rsidRPr="00624665">
        <w:t>dne 18.04.2026 podal</w:t>
      </w:r>
    </w:p>
    <w:p w14:paraId="622B2170" w14:textId="77777777" w:rsidR="00624665" w:rsidRPr="00624665" w:rsidRDefault="00624665" w:rsidP="00624665">
      <w:pPr>
        <w:jc w:val="both"/>
      </w:pPr>
      <w:r w:rsidRPr="00624665">
        <w:t>(dále jen "žadatel"), k záměru</w:t>
      </w:r>
    </w:p>
    <w:p w14:paraId="2BAEB089" w14:textId="77777777" w:rsidR="00624665" w:rsidRPr="00624665" w:rsidRDefault="00624665" w:rsidP="00624665">
      <w:pPr>
        <w:jc w:val="both"/>
        <w:rPr>
          <w:b/>
          <w:bCs/>
        </w:rPr>
      </w:pPr>
      <w:r w:rsidRPr="00624665">
        <w:rPr>
          <w:b/>
          <w:bCs/>
        </w:rPr>
        <w:t>Rodinný dům Doubrava</w:t>
      </w:r>
    </w:p>
    <w:p w14:paraId="67B7525B" w14:textId="77777777" w:rsidR="00624665" w:rsidRPr="00624665" w:rsidRDefault="00624665" w:rsidP="00624665">
      <w:pPr>
        <w:jc w:val="both"/>
      </w:pPr>
      <w:r w:rsidRPr="00624665">
        <w:t xml:space="preserve">(dále jen "záměr") na pozemku st. p. 70, </w:t>
      </w:r>
      <w:proofErr w:type="spellStart"/>
      <w:r w:rsidRPr="00624665">
        <w:t>parc</w:t>
      </w:r>
      <w:proofErr w:type="spellEnd"/>
      <w:r w:rsidRPr="00624665">
        <w:t>. č. 71/1, 71/2, 71/3 v katastrálním území Doubrava u</w:t>
      </w:r>
    </w:p>
    <w:p w14:paraId="7EDF5E0C" w14:textId="77777777" w:rsidR="00624665" w:rsidRPr="00624665" w:rsidRDefault="00624665" w:rsidP="00624665">
      <w:pPr>
        <w:jc w:val="both"/>
      </w:pPr>
      <w:r w:rsidRPr="00624665">
        <w:t>Kostomlat nad Labem s těmito konkrétními požadavky:</w:t>
      </w:r>
    </w:p>
    <w:p w14:paraId="5A27EF43" w14:textId="77777777" w:rsidR="00624665" w:rsidRPr="00624665" w:rsidRDefault="00624665" w:rsidP="00624665">
      <w:pPr>
        <w:jc w:val="both"/>
      </w:pPr>
      <w:r w:rsidRPr="00624665">
        <w:t>- Sloučení pozemků katastrální území Doubrava parcelní číslo st. 70, parcelní čísla 71/1, 71/2 a 71/3.</w:t>
      </w:r>
    </w:p>
    <w:p w14:paraId="4912D5C0" w14:textId="77777777" w:rsidR="00624665" w:rsidRPr="00624665" w:rsidRDefault="00624665" w:rsidP="00624665">
      <w:pPr>
        <w:jc w:val="both"/>
      </w:pPr>
      <w:r w:rsidRPr="00624665">
        <w:t>Rozdělení na dvě shodné parcely.</w:t>
      </w:r>
    </w:p>
    <w:p w14:paraId="729EFC9D" w14:textId="77777777" w:rsidR="00624665" w:rsidRPr="00624665" w:rsidRDefault="00624665" w:rsidP="00624665">
      <w:pPr>
        <w:jc w:val="both"/>
      </w:pPr>
      <w:r w:rsidRPr="00624665">
        <w:t>- Demolice stávajícího objektu.</w:t>
      </w:r>
    </w:p>
    <w:p w14:paraId="584E1961" w14:textId="77777777" w:rsidR="00624665" w:rsidRPr="00624665" w:rsidRDefault="00624665" w:rsidP="00624665">
      <w:pPr>
        <w:jc w:val="both"/>
      </w:pPr>
      <w:r w:rsidRPr="00624665">
        <w:t>- Výstavba rodinného domu na každé parcele tzn. dvou rodinných domů.</w:t>
      </w:r>
    </w:p>
    <w:p w14:paraId="4730924D" w14:textId="77777777" w:rsidR="00624665" w:rsidRPr="00624665" w:rsidRDefault="00624665" w:rsidP="00624665">
      <w:pPr>
        <w:jc w:val="both"/>
      </w:pPr>
      <w:r w:rsidRPr="00624665">
        <w:t>- Půdorys každého domu do 120 m2. Sedlová střecha.</w:t>
      </w:r>
    </w:p>
    <w:p w14:paraId="2D697BAD" w14:textId="77777777" w:rsidR="00624665" w:rsidRPr="00624665" w:rsidRDefault="00624665" w:rsidP="00624665">
      <w:pPr>
        <w:jc w:val="both"/>
      </w:pPr>
      <w:r w:rsidRPr="00624665">
        <w:t>- Stávající pozemek má dva samostatné vjezdy.</w:t>
      </w:r>
    </w:p>
    <w:p w14:paraId="42BA5E4F" w14:textId="77777777" w:rsidR="00624665" w:rsidRPr="00624665" w:rsidRDefault="00624665" w:rsidP="00624665">
      <w:pPr>
        <w:jc w:val="both"/>
      </w:pPr>
      <w:r w:rsidRPr="00624665">
        <w:t>- V zadní části pozemku bude vybudován zemní ochranný protipovodňový val tak, aby byly pozemky</w:t>
      </w:r>
    </w:p>
    <w:p w14:paraId="02C0DAF7" w14:textId="77777777" w:rsidR="00624665" w:rsidRPr="00624665" w:rsidRDefault="00624665" w:rsidP="00624665">
      <w:pPr>
        <w:jc w:val="both"/>
      </w:pPr>
      <w:r w:rsidRPr="00624665">
        <w:t>ochráněny.</w:t>
      </w:r>
    </w:p>
    <w:p w14:paraId="3B9CD62D" w14:textId="77777777" w:rsidR="00624665" w:rsidRPr="00624665" w:rsidRDefault="00624665" w:rsidP="00624665">
      <w:pPr>
        <w:jc w:val="both"/>
        <w:rPr>
          <w:b/>
          <w:bCs/>
        </w:rPr>
      </w:pPr>
      <w:r w:rsidRPr="00624665">
        <w:rPr>
          <w:b/>
          <w:bCs/>
        </w:rPr>
        <w:t>Městský úřad Nymburk</w:t>
      </w:r>
    </w:p>
    <w:p w14:paraId="0AD148C8" w14:textId="77777777" w:rsidR="00624665" w:rsidRPr="00624665" w:rsidRDefault="00624665" w:rsidP="00624665">
      <w:pPr>
        <w:jc w:val="both"/>
      </w:pPr>
      <w:r w:rsidRPr="00624665">
        <w:t>Odbor výstavby</w:t>
      </w:r>
    </w:p>
    <w:p w14:paraId="19E1CF44" w14:textId="77777777" w:rsidR="00624665" w:rsidRPr="00624665" w:rsidRDefault="00624665" w:rsidP="00624665">
      <w:pPr>
        <w:jc w:val="both"/>
      </w:pPr>
      <w:r w:rsidRPr="00624665">
        <w:t>Náměstí Přemyslovců 163</w:t>
      </w:r>
    </w:p>
    <w:p w14:paraId="06D9166F" w14:textId="77777777" w:rsidR="00624665" w:rsidRPr="00624665" w:rsidRDefault="00624665" w:rsidP="00624665">
      <w:pPr>
        <w:jc w:val="both"/>
      </w:pPr>
      <w:r w:rsidRPr="00624665">
        <w:t>288 02 Nymburk</w:t>
      </w:r>
    </w:p>
    <w:p w14:paraId="513E52AD" w14:textId="77777777" w:rsidR="00624665" w:rsidRPr="00624665" w:rsidRDefault="00624665" w:rsidP="00624665">
      <w:pPr>
        <w:jc w:val="both"/>
      </w:pPr>
      <w:r w:rsidRPr="00624665">
        <w:t>Č.j. MUNYM-110/25919/2026/Mor str. 2</w:t>
      </w:r>
    </w:p>
    <w:p w14:paraId="5EF69315" w14:textId="77777777" w:rsidR="00624665" w:rsidRPr="00624665" w:rsidRDefault="00624665" w:rsidP="00624665">
      <w:pPr>
        <w:jc w:val="both"/>
        <w:rPr>
          <w:b/>
          <w:bCs/>
        </w:rPr>
      </w:pPr>
      <w:r w:rsidRPr="00624665">
        <w:rPr>
          <w:b/>
          <w:bCs/>
        </w:rPr>
        <w:t>Stavební úřad poskytuje předběžnou informaci:</w:t>
      </w:r>
    </w:p>
    <w:p w14:paraId="34757D79" w14:textId="77777777" w:rsidR="00624665" w:rsidRPr="00624665" w:rsidRDefault="00624665" w:rsidP="00624665">
      <w:pPr>
        <w:jc w:val="both"/>
      </w:pPr>
      <w:r w:rsidRPr="00624665">
        <w:t xml:space="preserve">I. </w:t>
      </w:r>
      <w:r w:rsidRPr="00624665">
        <w:rPr>
          <w:b/>
          <w:bCs/>
        </w:rPr>
        <w:t>O podmínkách využívání území a změn jeho využití</w:t>
      </w:r>
      <w:r w:rsidRPr="00624665">
        <w:t>, zejména na základě územně plánovacích</w:t>
      </w:r>
    </w:p>
    <w:p w14:paraId="1A5B5391" w14:textId="77777777" w:rsidR="00624665" w:rsidRPr="00624665" w:rsidRDefault="00624665" w:rsidP="00624665">
      <w:pPr>
        <w:jc w:val="both"/>
      </w:pPr>
      <w:r w:rsidRPr="00624665">
        <w:t>podkladů a územně plánovací dokumentace:</w:t>
      </w:r>
    </w:p>
    <w:p w14:paraId="3CA19587" w14:textId="77777777" w:rsidR="00624665" w:rsidRPr="00624665" w:rsidRDefault="00624665" w:rsidP="00624665">
      <w:pPr>
        <w:jc w:val="both"/>
      </w:pPr>
      <w:r w:rsidRPr="00624665">
        <w:t>Pozemky se podle územního plánu nacházejí v zastavěném území, v ploše SV – plochy smíšené obytné</w:t>
      </w:r>
    </w:p>
    <w:p w14:paraId="1DF22A32" w14:textId="77777777" w:rsidR="00624665" w:rsidRPr="00624665" w:rsidRDefault="00624665" w:rsidP="00624665">
      <w:pPr>
        <w:jc w:val="both"/>
      </w:pPr>
      <w:r w:rsidRPr="00624665">
        <w:t>venkovské.</w:t>
      </w:r>
    </w:p>
    <w:p w14:paraId="6E4984F2" w14:textId="77777777" w:rsidR="00624665" w:rsidRPr="00624665" w:rsidRDefault="00624665" w:rsidP="00624665">
      <w:pPr>
        <w:jc w:val="both"/>
      </w:pPr>
      <w:r w:rsidRPr="00624665">
        <w:t>Hlavní využití plochy podle územního plánu jsou stavby pro bydlení, zejména rodinné a bytové domy,</w:t>
      </w:r>
    </w:p>
    <w:p w14:paraId="59FFDC83" w14:textId="3E739ECA" w:rsidR="00624665" w:rsidRPr="00624665" w:rsidRDefault="00624665" w:rsidP="00624665">
      <w:pPr>
        <w:jc w:val="both"/>
      </w:pPr>
      <w:r w:rsidRPr="00624665">
        <w:lastRenderedPageBreak/>
        <w:t>včetně doplňkových staveb a individuálních garáží. Dále zeleň veřejná, vyhrazená a soukromá, zejména</w:t>
      </w:r>
      <w:r>
        <w:t xml:space="preserve"> </w:t>
      </w:r>
      <w:r w:rsidRPr="00624665">
        <w:t>zahrady a sady, dopravní a technická infrastruktura pro obsluhu řešeného území, - plochy veřejných</w:t>
      </w:r>
      <w:r>
        <w:t xml:space="preserve"> </w:t>
      </w:r>
      <w:r w:rsidRPr="00624665">
        <w:t>prostranství a drobná architektura.</w:t>
      </w:r>
    </w:p>
    <w:p w14:paraId="54C24A41" w14:textId="77777777" w:rsidR="00624665" w:rsidRDefault="00624665" w:rsidP="00624665">
      <w:pPr>
        <w:jc w:val="both"/>
      </w:pPr>
      <w:r w:rsidRPr="00624665">
        <w:t>Podmíněně přípustné jsou stavby a zařízení občanského vybavení za podmínky, že bude funkcí</w:t>
      </w:r>
      <w:r>
        <w:t xml:space="preserve"> </w:t>
      </w:r>
      <w:r w:rsidRPr="00624665">
        <w:t>doplňkovou a nebude narušeno či omezeno hlavní využití - rekreace za podmínky, že bude funkcí</w:t>
      </w:r>
      <w:r>
        <w:t xml:space="preserve"> </w:t>
      </w:r>
      <w:r w:rsidRPr="00624665">
        <w:t>doplňkovou a nebude narušeno či omezeno hlavní využití - výroba a skladování za podmínky, že svým</w:t>
      </w:r>
      <w:r>
        <w:t xml:space="preserve"> </w:t>
      </w:r>
      <w:r w:rsidRPr="00624665">
        <w:t>provozováním a technickým zařízením nenaruší užívání staveb a zařízení ve svém okolí, nesníží kvalitu</w:t>
      </w:r>
      <w:r>
        <w:t xml:space="preserve"> </w:t>
      </w:r>
      <w:r w:rsidRPr="00624665">
        <w:t>okolního prostředí, svým charakterem a kapacitou výrazně nezvýší dopravní zátěž v území, neomezí</w:t>
      </w:r>
      <w:r>
        <w:t xml:space="preserve"> </w:t>
      </w:r>
      <w:r w:rsidRPr="00624665">
        <w:t>hlavní využití a nenaruší pohodu bydlení - zemědělská výroba, za podmínky, že jejich kapacita</w:t>
      </w:r>
      <w:r>
        <w:t xml:space="preserve"> </w:t>
      </w:r>
      <w:r w:rsidRPr="00624665">
        <w:t>nepřevyšuje vlastní spotřebu a současně negativní účinky, zejména zápach, hluk, znečišťování vod,</w:t>
      </w:r>
      <w:r>
        <w:t xml:space="preserve"> </w:t>
      </w:r>
      <w:r w:rsidRPr="00624665">
        <w:t xml:space="preserve">zastínění budov, na životní prostředí nepřekročí příslušné hygienické limity a nenaruší pohodu bydlení </w:t>
      </w:r>
    </w:p>
    <w:p w14:paraId="78355007" w14:textId="77777777" w:rsidR="00624665" w:rsidRDefault="00624665" w:rsidP="00624665">
      <w:pPr>
        <w:jc w:val="both"/>
      </w:pPr>
      <w:r w:rsidRPr="00624665">
        <w:t>-</w:t>
      </w:r>
      <w:r>
        <w:t xml:space="preserve"> </w:t>
      </w:r>
      <w:r w:rsidRPr="00624665">
        <w:t>zařízení na výrobu energie z obnovitelných zdrojů za podmínky umístění na budovy, pokud se nebudou</w:t>
      </w:r>
      <w:r>
        <w:t xml:space="preserve"> </w:t>
      </w:r>
      <w:r w:rsidRPr="00624665">
        <w:t>negativně projevovat v dálkových pohledech a průhledech.</w:t>
      </w:r>
      <w:r>
        <w:t xml:space="preserve"> </w:t>
      </w:r>
    </w:p>
    <w:p w14:paraId="3641925F" w14:textId="74228FAE" w:rsidR="00624665" w:rsidRPr="00624665" w:rsidRDefault="00624665" w:rsidP="00624665">
      <w:pPr>
        <w:jc w:val="both"/>
      </w:pPr>
      <w:r w:rsidRPr="00624665">
        <w:t>Podmínky prostorového uspořádání: respektovat charakter a strukturu příslušné zóny, charakter okolní</w:t>
      </w:r>
      <w:r>
        <w:t xml:space="preserve"> </w:t>
      </w:r>
      <w:proofErr w:type="gramStart"/>
      <w:r w:rsidRPr="00624665">
        <w:t>zástavby</w:t>
      </w:r>
      <w:proofErr w:type="gramEnd"/>
      <w:r w:rsidRPr="00624665">
        <w:t xml:space="preserve"> a to zejména umístěním na pozemku a hmotovým řešením.</w:t>
      </w:r>
    </w:p>
    <w:p w14:paraId="696C8F03" w14:textId="28D30276" w:rsidR="00624665" w:rsidRPr="00624665" w:rsidRDefault="00624665" w:rsidP="00624665">
      <w:pPr>
        <w:jc w:val="both"/>
      </w:pPr>
      <w:r w:rsidRPr="00624665">
        <w:t xml:space="preserve">Výměry pozemků: st. </w:t>
      </w:r>
      <w:proofErr w:type="gramStart"/>
      <w:r w:rsidRPr="00624665">
        <w:t>70 – 274</w:t>
      </w:r>
      <w:proofErr w:type="gramEnd"/>
      <w:r w:rsidRPr="00624665">
        <w:t xml:space="preserve"> m2, č. 71/</w:t>
      </w:r>
      <w:proofErr w:type="gramStart"/>
      <w:r w:rsidRPr="00624665">
        <w:t>1 – 450</w:t>
      </w:r>
      <w:proofErr w:type="gramEnd"/>
      <w:r w:rsidRPr="00624665">
        <w:t xml:space="preserve"> m2, č. 71/</w:t>
      </w:r>
      <w:proofErr w:type="gramStart"/>
      <w:r w:rsidRPr="00624665">
        <w:t>2 – 645</w:t>
      </w:r>
      <w:proofErr w:type="gramEnd"/>
      <w:r w:rsidRPr="00624665">
        <w:t xml:space="preserve"> m2, č. 71/</w:t>
      </w:r>
      <w:proofErr w:type="gramStart"/>
      <w:r w:rsidRPr="00624665">
        <w:t>3 – 13</w:t>
      </w:r>
      <w:proofErr w:type="gramEnd"/>
      <w:r w:rsidRPr="00624665">
        <w:t xml:space="preserve"> m2, celkem 1382 m2.</w:t>
      </w:r>
      <w:r>
        <w:t xml:space="preserve"> </w:t>
      </w:r>
      <w:r w:rsidRPr="00624665">
        <w:t>Každý nový stavební pozemek by tedy měl výměru 691 m2, vytvoření dvou stavebních parcel pro</w:t>
      </w:r>
    </w:p>
    <w:p w14:paraId="04B75417" w14:textId="77777777" w:rsidR="00624665" w:rsidRPr="00624665" w:rsidRDefault="00624665" w:rsidP="00624665">
      <w:pPr>
        <w:jc w:val="both"/>
      </w:pPr>
      <w:r w:rsidRPr="00624665">
        <w:t>rodinné domy je z hlediska výměry pozemků přípustné.</w:t>
      </w:r>
    </w:p>
    <w:p w14:paraId="706A9042" w14:textId="52A4D238" w:rsidR="00624665" w:rsidRPr="00624665" w:rsidRDefault="00624665" w:rsidP="00624665">
      <w:pPr>
        <w:jc w:val="both"/>
      </w:pPr>
      <w:r w:rsidRPr="00624665">
        <w:t xml:space="preserve">Pozemek </w:t>
      </w:r>
      <w:proofErr w:type="spellStart"/>
      <w:r w:rsidRPr="00624665">
        <w:t>parc</w:t>
      </w:r>
      <w:proofErr w:type="spellEnd"/>
      <w:r w:rsidRPr="00624665">
        <w:t>. č. 71/2 je zasažen záplavovým územím Q100. V této části pozemku je možné rodinný</w:t>
      </w:r>
      <w:r>
        <w:t xml:space="preserve"> </w:t>
      </w:r>
      <w:r w:rsidRPr="00624665">
        <w:t xml:space="preserve">dům umístit jen se souhlasem vodoprávního úřadu a s dodržením podmínek stanovených Povodím </w:t>
      </w:r>
      <w:r>
        <w:t>L</w:t>
      </w:r>
      <w:r w:rsidRPr="00624665">
        <w:t>abe</w:t>
      </w:r>
      <w:r>
        <w:t xml:space="preserve"> </w:t>
      </w:r>
      <w:r w:rsidRPr="00624665">
        <w:t>s. p. Rovněž zvýšení nivelety terénu a jiná opatření na pozemku v záplavovém území jsou podmíněna</w:t>
      </w:r>
      <w:r>
        <w:t xml:space="preserve"> </w:t>
      </w:r>
      <w:r w:rsidRPr="00624665">
        <w:t>souhlasným vyjádřením vodoprávního úřadu.</w:t>
      </w:r>
    </w:p>
    <w:p w14:paraId="432D3A2C" w14:textId="77777777" w:rsidR="00624665" w:rsidRPr="00624665" w:rsidRDefault="00624665" w:rsidP="00624665">
      <w:pPr>
        <w:jc w:val="both"/>
        <w:rPr>
          <w:b/>
          <w:bCs/>
        </w:rPr>
      </w:pPr>
      <w:r w:rsidRPr="00624665">
        <w:rPr>
          <w:b/>
          <w:bCs/>
        </w:rPr>
        <w:t>II. Povolení záměru a kolaudace:</w:t>
      </w:r>
    </w:p>
    <w:p w14:paraId="16DCAA9D" w14:textId="6C3063F1" w:rsidR="00624665" w:rsidRPr="00624665" w:rsidRDefault="00624665" w:rsidP="00624665">
      <w:pPr>
        <w:jc w:val="both"/>
      </w:pPr>
      <w:r w:rsidRPr="00624665">
        <w:t>- Stavba rodinného domu je podle přílohy č. 2 k zákonu č. 283/2021 Sb., ve znění pozdějších předpisů,</w:t>
      </w:r>
      <w:r>
        <w:t xml:space="preserve"> </w:t>
      </w:r>
      <w:r w:rsidRPr="00624665">
        <w:t>tzv. jednoduchou stavbou, která dle § 171 vyžaduje povolení stavebního úřadu podle § 182 až § 212</w:t>
      </w:r>
      <w:r>
        <w:t xml:space="preserve"> </w:t>
      </w:r>
      <w:r w:rsidRPr="00624665">
        <w:t>stavebního zákona.</w:t>
      </w:r>
    </w:p>
    <w:p w14:paraId="0C60CB7A" w14:textId="4AA9ACCC" w:rsidR="00624665" w:rsidRPr="00624665" w:rsidRDefault="00624665" w:rsidP="00624665">
      <w:pPr>
        <w:jc w:val="both"/>
      </w:pPr>
      <w:r w:rsidRPr="00624665">
        <w:t>- Stavbu rodinného domu lze užívat jen na základě kolaudačního rozhodnutí dle § 230 až § 235</w:t>
      </w:r>
      <w:r>
        <w:t xml:space="preserve"> </w:t>
      </w:r>
      <w:r w:rsidRPr="00624665">
        <w:t>stavebního zákona.</w:t>
      </w:r>
    </w:p>
    <w:p w14:paraId="786ACFFF" w14:textId="77777777" w:rsidR="00624665" w:rsidRPr="00624665" w:rsidRDefault="00624665" w:rsidP="00624665">
      <w:pPr>
        <w:jc w:val="both"/>
        <w:rPr>
          <w:b/>
          <w:bCs/>
        </w:rPr>
      </w:pPr>
      <w:r w:rsidRPr="00624665">
        <w:rPr>
          <w:b/>
          <w:bCs/>
        </w:rPr>
        <w:t>III. Hlediska pro posuzování žádosti:</w:t>
      </w:r>
    </w:p>
    <w:p w14:paraId="34BA712F" w14:textId="77777777" w:rsidR="00624665" w:rsidRPr="00624665" w:rsidRDefault="00624665" w:rsidP="00624665">
      <w:pPr>
        <w:jc w:val="both"/>
      </w:pPr>
      <w:r w:rsidRPr="00624665">
        <w:t>Podle § 193 odst. (1) stavebního zákona stavební úřad posuzuje, zda je záměr v souladu s</w:t>
      </w:r>
    </w:p>
    <w:p w14:paraId="6F94E22D" w14:textId="77777777" w:rsidR="00624665" w:rsidRPr="00624665" w:rsidRDefault="00624665" w:rsidP="00624665">
      <w:pPr>
        <w:jc w:val="both"/>
      </w:pPr>
      <w:r w:rsidRPr="00624665">
        <w:t>a) územně plánovací dokumentací, územními opatřeními a vymezením zastavěného území</w:t>
      </w:r>
    </w:p>
    <w:p w14:paraId="02336291" w14:textId="2218D1F2" w:rsidR="00624665" w:rsidRPr="00624665" w:rsidRDefault="00624665" w:rsidP="00624665">
      <w:pPr>
        <w:jc w:val="both"/>
      </w:pPr>
      <w:r w:rsidRPr="00624665">
        <w:t>b) cíli a úkoly územního plánování, zejména s charakterem území a s požadavky na ochranu kulturně</w:t>
      </w:r>
      <w:r>
        <w:t xml:space="preserve"> </w:t>
      </w:r>
      <w:r w:rsidRPr="00624665">
        <w:t>historických, architektonických hodnot v území</w:t>
      </w:r>
    </w:p>
    <w:p w14:paraId="0858FA98" w14:textId="77777777" w:rsidR="00624665" w:rsidRPr="00624665" w:rsidRDefault="00624665" w:rsidP="00624665">
      <w:pPr>
        <w:jc w:val="both"/>
      </w:pPr>
      <w:r w:rsidRPr="00624665">
        <w:t>c) požadavky stavebního zákona a jeho prováděcích předpisů,</w:t>
      </w:r>
    </w:p>
    <w:p w14:paraId="58924940" w14:textId="77777777" w:rsidR="00624665" w:rsidRPr="00624665" w:rsidRDefault="00624665" w:rsidP="00624665">
      <w:pPr>
        <w:jc w:val="both"/>
      </w:pPr>
      <w:r w:rsidRPr="00624665">
        <w:t>d) požadavky jiných právních předpisů chránících dotčené veřejné zájmy</w:t>
      </w:r>
    </w:p>
    <w:p w14:paraId="7F10F746" w14:textId="77777777" w:rsidR="00624665" w:rsidRPr="00624665" w:rsidRDefault="00624665" w:rsidP="00624665">
      <w:pPr>
        <w:jc w:val="both"/>
      </w:pPr>
      <w:r w:rsidRPr="00624665">
        <w:t>e) požadavky na veřejnou dopravní a technickou infrastrukturu</w:t>
      </w:r>
    </w:p>
    <w:p w14:paraId="48EB43F2" w14:textId="77777777" w:rsidR="00624665" w:rsidRPr="00624665" w:rsidRDefault="00624665" w:rsidP="00624665">
      <w:pPr>
        <w:jc w:val="both"/>
      </w:pPr>
      <w:r w:rsidRPr="00624665">
        <w:t>f) ochranou práv a právem chráněných zájmů účastníků řízení</w:t>
      </w:r>
    </w:p>
    <w:p w14:paraId="4807FA1C" w14:textId="77777777" w:rsidR="00624665" w:rsidRDefault="00624665" w:rsidP="00624665">
      <w:pPr>
        <w:jc w:val="both"/>
      </w:pPr>
    </w:p>
    <w:p w14:paraId="049A7D26" w14:textId="2D3AE8F6" w:rsidR="00624665" w:rsidRPr="00624665" w:rsidRDefault="00624665" w:rsidP="00624665">
      <w:pPr>
        <w:jc w:val="both"/>
      </w:pPr>
      <w:r w:rsidRPr="00624665">
        <w:lastRenderedPageBreak/>
        <w:t>Č.j. MUNYM-110/25919/2026/Mor str. 3</w:t>
      </w:r>
    </w:p>
    <w:p w14:paraId="35BFD34D" w14:textId="77777777" w:rsidR="00624665" w:rsidRPr="00624665" w:rsidRDefault="00624665" w:rsidP="00624665">
      <w:pPr>
        <w:jc w:val="both"/>
      </w:pPr>
      <w:r w:rsidRPr="00624665">
        <w:t>Podle § 193 odst. (2):</w:t>
      </w:r>
    </w:p>
    <w:p w14:paraId="1B1A092A" w14:textId="77777777" w:rsidR="00624665" w:rsidRPr="00624665" w:rsidRDefault="00624665" w:rsidP="00624665">
      <w:pPr>
        <w:jc w:val="both"/>
      </w:pPr>
      <w:r w:rsidRPr="00624665">
        <w:t>Při posuzování souladu záměru s požadavky jiných právních předpisů vychází stavební úřad z vyjádření</w:t>
      </w:r>
    </w:p>
    <w:p w14:paraId="50DE6214" w14:textId="77777777" w:rsidR="00624665" w:rsidRPr="00624665" w:rsidRDefault="00624665" w:rsidP="00624665">
      <w:pPr>
        <w:jc w:val="both"/>
      </w:pPr>
      <w:r w:rsidRPr="00624665">
        <w:t>nebo závazného stanoviska dotčeného orgánu nebo z výsledků řešení rozporů.</w:t>
      </w:r>
    </w:p>
    <w:p w14:paraId="7E658097" w14:textId="77777777" w:rsidR="00624665" w:rsidRPr="00624665" w:rsidRDefault="00624665" w:rsidP="00624665">
      <w:pPr>
        <w:jc w:val="both"/>
        <w:rPr>
          <w:b/>
          <w:bCs/>
        </w:rPr>
      </w:pPr>
      <w:r w:rsidRPr="00624665">
        <w:rPr>
          <w:b/>
          <w:bCs/>
        </w:rPr>
        <w:t>IV. Dotčené orgány ve vztahu k záměru:</w:t>
      </w:r>
    </w:p>
    <w:p w14:paraId="17030D34" w14:textId="77777777" w:rsidR="00624665" w:rsidRPr="00624665" w:rsidRDefault="00624665" w:rsidP="00624665">
      <w:pPr>
        <w:jc w:val="both"/>
      </w:pPr>
      <w:r w:rsidRPr="00624665">
        <w:t>Městský úřad Nymburk, odbor životního prostředí</w:t>
      </w:r>
    </w:p>
    <w:p w14:paraId="6B1E508A" w14:textId="77777777" w:rsidR="00624665" w:rsidRPr="00624665" w:rsidRDefault="00624665" w:rsidP="00624665">
      <w:pPr>
        <w:jc w:val="both"/>
      </w:pPr>
      <w:r w:rsidRPr="00624665">
        <w:t>Krajská hygienická stanice</w:t>
      </w:r>
    </w:p>
    <w:p w14:paraId="0504B75F" w14:textId="77777777" w:rsidR="00624665" w:rsidRPr="00624665" w:rsidRDefault="00624665" w:rsidP="00624665">
      <w:pPr>
        <w:jc w:val="both"/>
      </w:pPr>
      <w:r w:rsidRPr="00624665">
        <w:t>V případě že bude požadována úprava vjezdu na pozemek také:</w:t>
      </w:r>
    </w:p>
    <w:p w14:paraId="20FB6718" w14:textId="77777777" w:rsidR="00624665" w:rsidRPr="00624665" w:rsidRDefault="00624665" w:rsidP="00624665">
      <w:pPr>
        <w:jc w:val="both"/>
      </w:pPr>
      <w:r w:rsidRPr="00624665">
        <w:t>Městský úřad Nymburk, odbor správy městského majetku</w:t>
      </w:r>
    </w:p>
    <w:p w14:paraId="67AEC44E" w14:textId="77777777" w:rsidR="00624665" w:rsidRPr="00624665" w:rsidRDefault="00624665" w:rsidP="00624665">
      <w:pPr>
        <w:jc w:val="both"/>
      </w:pPr>
      <w:r w:rsidRPr="00624665">
        <w:t>Policie ČR, dopravní inspektorát</w:t>
      </w:r>
    </w:p>
    <w:p w14:paraId="36ADD434" w14:textId="77777777" w:rsidR="00624665" w:rsidRPr="00624665" w:rsidRDefault="00624665" w:rsidP="00624665">
      <w:pPr>
        <w:jc w:val="both"/>
        <w:rPr>
          <w:b/>
          <w:bCs/>
        </w:rPr>
      </w:pPr>
      <w:r w:rsidRPr="00624665">
        <w:rPr>
          <w:b/>
          <w:bCs/>
        </w:rPr>
        <w:t>Poučení:</w:t>
      </w:r>
    </w:p>
    <w:p w14:paraId="45B2AFFF" w14:textId="77777777" w:rsidR="00624665" w:rsidRPr="00624665" w:rsidRDefault="00624665" w:rsidP="00624665">
      <w:pPr>
        <w:jc w:val="both"/>
      </w:pPr>
      <w:r w:rsidRPr="00624665">
        <w:t>Ten, kdo o předběžnou informaci žádá, kromě obecných náležitostí podle správního řádu uvede konkrétní</w:t>
      </w:r>
    </w:p>
    <w:p w14:paraId="7316B30F" w14:textId="77777777" w:rsidR="00624665" w:rsidRPr="00624665" w:rsidRDefault="00624665" w:rsidP="00624665">
      <w:pPr>
        <w:jc w:val="both"/>
      </w:pPr>
      <w:r w:rsidRPr="00624665">
        <w:t>požadavky na předběžnou informaci a konkrétní údaje o záměru, zejména jeho umístění, účel a technické</w:t>
      </w:r>
    </w:p>
    <w:p w14:paraId="48E03618" w14:textId="77777777" w:rsidR="00624665" w:rsidRPr="00624665" w:rsidRDefault="00624665" w:rsidP="00624665">
      <w:pPr>
        <w:jc w:val="both"/>
      </w:pPr>
      <w:r w:rsidRPr="00624665">
        <w:t>provedení záměru. V téže věci lze předběžnou informaci požadovat jen jednou. Předběžnou informaci lze</w:t>
      </w:r>
    </w:p>
    <w:p w14:paraId="5C880312" w14:textId="77777777" w:rsidR="00624665" w:rsidRPr="00624665" w:rsidRDefault="00624665" w:rsidP="00624665">
      <w:pPr>
        <w:jc w:val="both"/>
      </w:pPr>
      <w:r w:rsidRPr="00624665">
        <w:t>požadovat i po zahájení řízení.</w:t>
      </w:r>
    </w:p>
    <w:p w14:paraId="68EAA6E6" w14:textId="77777777" w:rsidR="00624665" w:rsidRPr="00624665" w:rsidRDefault="00624665" w:rsidP="00624665">
      <w:pPr>
        <w:jc w:val="both"/>
      </w:pPr>
      <w:r w:rsidRPr="00624665">
        <w:t>Předběžná informace přestává platit, dostala-li se do rozporu s právním předpisem, který nabyl účinnosti</w:t>
      </w:r>
    </w:p>
    <w:p w14:paraId="0D11ABD6" w14:textId="77777777" w:rsidR="00624665" w:rsidRPr="00624665" w:rsidRDefault="00624665" w:rsidP="00624665">
      <w:pPr>
        <w:jc w:val="both"/>
      </w:pPr>
      <w:r w:rsidRPr="00624665">
        <w:t>po jejím vydání, nebo došlo-li ke změně okolností rozhodných pro její obsah. Předběžná informace je od</w:t>
      </w:r>
    </w:p>
    <w:p w14:paraId="79F9E1E4" w14:textId="77777777" w:rsidR="00624665" w:rsidRPr="00624665" w:rsidRDefault="00624665" w:rsidP="00624665">
      <w:pPr>
        <w:jc w:val="both"/>
      </w:pPr>
      <w:r w:rsidRPr="00624665">
        <w:t>počátku neplatná, pokud byla vydána na základě údajů nepravdivých, neúplných, zkreslených nebo</w:t>
      </w:r>
    </w:p>
    <w:p w14:paraId="025BEE07" w14:textId="77777777" w:rsidR="00624665" w:rsidRPr="00624665" w:rsidRDefault="00624665" w:rsidP="00624665">
      <w:pPr>
        <w:jc w:val="both"/>
      </w:pPr>
      <w:r w:rsidRPr="00624665">
        <w:t>žadatelem zatajených.</w:t>
      </w:r>
    </w:p>
    <w:p w14:paraId="1BC7424F" w14:textId="77777777" w:rsidR="00624665" w:rsidRPr="00624665" w:rsidRDefault="00624665" w:rsidP="00624665">
      <w:pPr>
        <w:jc w:val="both"/>
      </w:pPr>
      <w:r w:rsidRPr="00624665">
        <w:t>Ing. Alena Morávková</w:t>
      </w:r>
    </w:p>
    <w:p w14:paraId="46479A48" w14:textId="77777777" w:rsidR="00624665" w:rsidRPr="00624665" w:rsidRDefault="00624665" w:rsidP="00624665">
      <w:pPr>
        <w:jc w:val="both"/>
      </w:pPr>
      <w:r w:rsidRPr="00624665">
        <w:t>referentka odboru výstavby</w:t>
      </w:r>
    </w:p>
    <w:sectPr w:rsidR="00624665" w:rsidRPr="00624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65"/>
    <w:rsid w:val="00624665"/>
    <w:rsid w:val="00822687"/>
    <w:rsid w:val="00852943"/>
    <w:rsid w:val="00901196"/>
    <w:rsid w:val="00B664CB"/>
    <w:rsid w:val="00E7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5842"/>
  <w15:chartTrackingRefBased/>
  <w15:docId w15:val="{0B92A1C3-81FB-48AA-8229-755753FC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4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6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6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6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6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6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6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6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6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6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46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66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66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Šerák</dc:creator>
  <cp:keywords/>
  <dc:description/>
  <cp:lastModifiedBy>Jakub Šerák</cp:lastModifiedBy>
  <cp:revision>1</cp:revision>
  <dcterms:created xsi:type="dcterms:W3CDTF">2026-05-17T13:24:00Z</dcterms:created>
  <dcterms:modified xsi:type="dcterms:W3CDTF">2026-05-17T13:28:00Z</dcterms:modified>
</cp:coreProperties>
</file>